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C7BC7" w14:textId="77777777" w:rsidR="008E6B94" w:rsidRPr="00290662" w:rsidRDefault="008E6B94" w:rsidP="008E6B94">
      <w:pPr>
        <w:spacing w:after="0" w:line="360" w:lineRule="auto"/>
        <w:jc w:val="both"/>
        <w:rPr>
          <w:b/>
          <w:sz w:val="24"/>
          <w:szCs w:val="24"/>
        </w:rPr>
      </w:pPr>
      <w:r w:rsidRPr="00290662">
        <w:rPr>
          <w:b/>
          <w:sz w:val="24"/>
          <w:szCs w:val="24"/>
        </w:rPr>
        <w:t>Supplementary Information</w:t>
      </w:r>
    </w:p>
    <w:p w14:paraId="75F545C6" w14:textId="25EDFDB8" w:rsidR="008E6B94" w:rsidRPr="008E6B94" w:rsidRDefault="008E6B94" w:rsidP="008E6B94">
      <w:pPr>
        <w:spacing w:line="360" w:lineRule="auto"/>
        <w:rPr>
          <w:b/>
        </w:rPr>
      </w:pPr>
      <w:r w:rsidRPr="008E6B94">
        <w:rPr>
          <w:b/>
        </w:rPr>
        <w:t>Micro</w:t>
      </w:r>
      <w:r w:rsidR="00FE5F96">
        <w:rPr>
          <w:b/>
        </w:rPr>
        <w:t>ves</w:t>
      </w:r>
      <w:r w:rsidRPr="008E6B94">
        <w:rPr>
          <w:b/>
        </w:rPr>
        <w:t xml:space="preserve">icle formation induced by oxidative stress in human erythrocytes </w:t>
      </w:r>
    </w:p>
    <w:p w14:paraId="3CFE1F59" w14:textId="4578576A" w:rsidR="004B3454" w:rsidRDefault="008E6B94" w:rsidP="00390997">
      <w:pPr>
        <w:spacing w:line="360" w:lineRule="auto"/>
        <w:rPr>
          <w:i/>
        </w:rPr>
      </w:pPr>
      <w:r w:rsidRPr="008E6B94">
        <w:rPr>
          <w:i/>
        </w:rPr>
        <w:t>J. Sudnitsyna</w:t>
      </w:r>
      <w:r w:rsidRPr="008E6B94">
        <w:rPr>
          <w:i/>
          <w:vertAlign w:val="superscript"/>
        </w:rPr>
        <w:t>1,2</w:t>
      </w:r>
      <w:r w:rsidRPr="008E6B94">
        <w:rPr>
          <w:i/>
        </w:rPr>
        <w:t>, E. Skverchinskaya</w:t>
      </w:r>
      <w:r w:rsidRPr="008E6B94">
        <w:rPr>
          <w:i/>
          <w:vertAlign w:val="superscript"/>
        </w:rPr>
        <w:t>2</w:t>
      </w:r>
      <w:r w:rsidRPr="008E6B94">
        <w:rPr>
          <w:i/>
        </w:rPr>
        <w:t>, I. Dobrylko</w:t>
      </w:r>
      <w:r w:rsidRPr="008E6B94">
        <w:rPr>
          <w:i/>
          <w:vertAlign w:val="superscript"/>
        </w:rPr>
        <w:t>2</w:t>
      </w:r>
      <w:r w:rsidRPr="008E6B94">
        <w:rPr>
          <w:i/>
        </w:rPr>
        <w:t>, E. R. Nikitina</w:t>
      </w:r>
      <w:r w:rsidRPr="008E6B94">
        <w:rPr>
          <w:i/>
          <w:vertAlign w:val="superscript"/>
        </w:rPr>
        <w:t>2</w:t>
      </w:r>
      <w:r w:rsidRPr="008E6B94">
        <w:rPr>
          <w:i/>
        </w:rPr>
        <w:t>, S. Gambaryan</w:t>
      </w:r>
      <w:r w:rsidRPr="008E6B94">
        <w:rPr>
          <w:i/>
          <w:vertAlign w:val="superscript"/>
        </w:rPr>
        <w:t>2</w:t>
      </w:r>
      <w:r w:rsidRPr="008E6B94">
        <w:rPr>
          <w:i/>
        </w:rPr>
        <w:t>, I. Mindukshev</w:t>
      </w:r>
      <w:r w:rsidRPr="008E6B94">
        <w:rPr>
          <w:i/>
          <w:vertAlign w:val="superscript"/>
        </w:rPr>
        <w:t>2</w:t>
      </w:r>
      <w:r w:rsidRPr="008E6B94">
        <w:rPr>
          <w:i/>
        </w:rPr>
        <w:t xml:space="preserve">. </w:t>
      </w:r>
    </w:p>
    <w:p w14:paraId="34BE539A" w14:textId="77777777" w:rsidR="00390997" w:rsidRPr="00390997" w:rsidRDefault="00390997" w:rsidP="00390997">
      <w:pPr>
        <w:spacing w:line="360" w:lineRule="auto"/>
        <w:rPr>
          <w:i/>
        </w:rPr>
      </w:pPr>
    </w:p>
    <w:p w14:paraId="7C0579E9" w14:textId="77777777" w:rsidR="004B3454" w:rsidRPr="001D4F79" w:rsidRDefault="004B3454" w:rsidP="008E6B94">
      <w:pPr>
        <w:spacing w:line="360" w:lineRule="auto"/>
        <w:rPr>
          <w:b/>
          <w:noProof/>
          <w:lang w:val="ru-RU"/>
        </w:rPr>
      </w:pPr>
      <w:r>
        <w:rPr>
          <w:b/>
          <w:noProof/>
        </w:rPr>
        <w:drawing>
          <wp:inline distT="0" distB="0" distL="0" distR="0" wp14:anchorId="43EFBEA9" wp14:editId="255A446C">
            <wp:extent cx="5674118" cy="38937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99212" cy="3910929"/>
                    </a:xfrm>
                    <a:prstGeom prst="rect">
                      <a:avLst/>
                    </a:prstGeom>
                    <a:noFill/>
                  </pic:spPr>
                </pic:pic>
              </a:graphicData>
            </a:graphic>
          </wp:inline>
        </w:drawing>
      </w:r>
    </w:p>
    <w:p w14:paraId="7922E504" w14:textId="77777777" w:rsidR="004B3454" w:rsidRDefault="004B3454" w:rsidP="008E6B94">
      <w:pPr>
        <w:spacing w:line="360" w:lineRule="auto"/>
        <w:rPr>
          <w:b/>
        </w:rPr>
      </w:pPr>
    </w:p>
    <w:p w14:paraId="2A5B0DC9" w14:textId="2F80D966" w:rsidR="008E6B94" w:rsidRPr="002E7848" w:rsidRDefault="008E6B94" w:rsidP="00BA2CB2">
      <w:pPr>
        <w:spacing w:line="360" w:lineRule="auto"/>
        <w:jc w:val="both"/>
        <w:rPr>
          <w:b/>
        </w:rPr>
      </w:pPr>
      <w:r w:rsidRPr="008E6B94">
        <w:rPr>
          <w:b/>
        </w:rPr>
        <w:t>Supplementary</w:t>
      </w:r>
      <w:r w:rsidRPr="002E7848">
        <w:rPr>
          <w:b/>
        </w:rPr>
        <w:t xml:space="preserve"> </w:t>
      </w:r>
      <w:r w:rsidRPr="008E6B94">
        <w:rPr>
          <w:b/>
        </w:rPr>
        <w:t>Figure</w:t>
      </w:r>
      <w:r w:rsidRPr="002E7848">
        <w:rPr>
          <w:b/>
        </w:rPr>
        <w:t xml:space="preserve"> </w:t>
      </w:r>
      <w:r w:rsidR="00BA2CB2">
        <w:rPr>
          <w:b/>
        </w:rPr>
        <w:t>A</w:t>
      </w:r>
      <w:r w:rsidRPr="002E7848">
        <w:rPr>
          <w:b/>
        </w:rPr>
        <w:t>1.</w:t>
      </w:r>
      <w:r w:rsidR="002E7848">
        <w:rPr>
          <w:b/>
        </w:rPr>
        <w:t xml:space="preserve"> </w:t>
      </w:r>
      <w:r w:rsidRPr="002E7848">
        <w:rPr>
          <w:b/>
          <w:bCs/>
        </w:rPr>
        <w:t xml:space="preserve">Evaluation of RBCs osmotic fragility by laser diffraction method. </w:t>
      </w:r>
      <w:r w:rsidR="00932E8F">
        <w:t xml:space="preserve">Light scattered intensity (LSI) was measured from  </w:t>
      </w:r>
      <w:r>
        <w:t>RBCs (1x10</w:t>
      </w:r>
      <w:r w:rsidRPr="008E6B94">
        <w:rPr>
          <w:vertAlign w:val="superscript"/>
        </w:rPr>
        <w:t>6</w:t>
      </w:r>
      <w:r w:rsidR="00C32BFC">
        <w:t xml:space="preserve"> cells</w:t>
      </w:r>
      <w:r>
        <w:t>/ml) in 1 ml HEPES buffer</w:t>
      </w:r>
      <w:r w:rsidR="00C32BFC">
        <w:t xml:space="preserve"> with 2mM EGTA</w:t>
      </w:r>
      <w:r>
        <w:t xml:space="preserve"> (osmolality 300 </w:t>
      </w:r>
      <w:r w:rsidR="00AA33AA">
        <w:t>mOsm/kg H</w:t>
      </w:r>
      <w:r w:rsidR="00AA33AA" w:rsidRPr="000B2AEC">
        <w:rPr>
          <w:vertAlign w:val="subscript"/>
        </w:rPr>
        <w:t>2</w:t>
      </w:r>
      <w:r w:rsidR="00AA33AA">
        <w:t>O</w:t>
      </w:r>
      <w:r>
        <w:t xml:space="preserve">) </w:t>
      </w:r>
      <w:r w:rsidR="00932E8F">
        <w:t>then water and RBC</w:t>
      </w:r>
      <w:r w:rsidR="004B3454">
        <w:t>s</w:t>
      </w:r>
      <w:r w:rsidR="00932E8F">
        <w:t xml:space="preserve"> were added in indicated time to </w:t>
      </w:r>
      <w:r w:rsidR="00791C49">
        <w:t xml:space="preserve">adjust </w:t>
      </w:r>
      <w:r w:rsidR="00932E8F">
        <w:t xml:space="preserve">the osmolality </w:t>
      </w:r>
      <w:r w:rsidR="00791C49">
        <w:t xml:space="preserve">to the desired value </w:t>
      </w:r>
      <w:r w:rsidR="00932E8F">
        <w:t xml:space="preserve">and to keep RBCs concentration constant. </w:t>
      </w:r>
      <w:r w:rsidR="008452F2">
        <w:t>(</w:t>
      </w:r>
      <w:r w:rsidR="00932E8F" w:rsidRPr="00932E8F">
        <w:rPr>
          <w:b/>
        </w:rPr>
        <w:t>A</w:t>
      </w:r>
      <w:r w:rsidR="008452F2">
        <w:t>)</w:t>
      </w:r>
      <w:r>
        <w:t xml:space="preserve"> </w:t>
      </w:r>
      <w:r w:rsidR="00932E8F">
        <w:t>Original records from LaSca-TM analyzer of LSI changes in different angles. For</w:t>
      </w:r>
      <w:r w:rsidR="00932E8F" w:rsidRPr="004B3454">
        <w:t xml:space="preserve"> </w:t>
      </w:r>
      <w:r w:rsidR="00932E8F">
        <w:t>angles</w:t>
      </w:r>
      <w:r w:rsidR="00932E8F" w:rsidRPr="004B3454">
        <w:t xml:space="preserve"> 5 – 10 </w:t>
      </w:r>
      <w:r w:rsidR="00932E8F">
        <w:t>degree</w:t>
      </w:r>
      <w:r w:rsidR="00932E8F" w:rsidRPr="004B3454">
        <w:t xml:space="preserve"> </w:t>
      </w:r>
      <w:r w:rsidR="00932E8F">
        <w:t>Y</w:t>
      </w:r>
      <w:r w:rsidR="00932E8F" w:rsidRPr="004B3454">
        <w:t xml:space="preserve"> </w:t>
      </w:r>
      <w:r w:rsidR="00932E8F">
        <w:t>axes</w:t>
      </w:r>
      <w:r w:rsidR="00932E8F" w:rsidRPr="004B3454">
        <w:t xml:space="preserve"> </w:t>
      </w:r>
      <w:r w:rsidR="00932E8F">
        <w:t>x</w:t>
      </w:r>
      <w:r w:rsidR="00932E8F" w:rsidRPr="004B3454">
        <w:t xml:space="preserve">10. </w:t>
      </w:r>
      <w:r w:rsidR="008452F2">
        <w:t>(</w:t>
      </w:r>
      <w:r w:rsidR="00932E8F" w:rsidRPr="00932E8F">
        <w:rPr>
          <w:b/>
        </w:rPr>
        <w:t>B</w:t>
      </w:r>
      <w:r w:rsidR="008452F2">
        <w:t>)</w:t>
      </w:r>
      <w:r w:rsidR="00932E8F">
        <w:t xml:space="preserve"> </w:t>
      </w:r>
      <w:r w:rsidR="007B6DE1">
        <w:t>Distribution of cells volume (fL)</w:t>
      </w:r>
      <w:r w:rsidR="0063698E">
        <w:t xml:space="preserve"> dependent on buffer osmolality calculated by the original software LaSca v.1498. </w:t>
      </w:r>
      <w:r w:rsidR="008452F2">
        <w:t>(</w:t>
      </w:r>
      <w:r w:rsidR="008452F2">
        <w:rPr>
          <w:b/>
        </w:rPr>
        <w:t>C)</w:t>
      </w:r>
      <w:r w:rsidR="006E33AB" w:rsidRPr="0063698E">
        <w:t xml:space="preserve"> </w:t>
      </w:r>
      <w:r w:rsidR="001D4F79">
        <w:t>Dependence</w:t>
      </w:r>
      <w:r w:rsidR="0063698E">
        <w:t xml:space="preserve"> of MCV (fL) and % of hemolysis from buffer osmolality. Initial MCV (MCV</w:t>
      </w:r>
      <w:r w:rsidR="000B2AEC">
        <w:rPr>
          <w:vertAlign w:val="subscript"/>
        </w:rPr>
        <w:t>300</w:t>
      </w:r>
      <w:r w:rsidR="0063698E">
        <w:t xml:space="preserve">) </w:t>
      </w:r>
      <w:r w:rsidR="00B86FBD">
        <w:t xml:space="preserve">was taken from hematologic </w:t>
      </w:r>
      <w:r w:rsidR="000B2AEC">
        <w:t xml:space="preserve">counter </w:t>
      </w:r>
      <w:r w:rsidR="00B86FBD">
        <w:t>and was used for future calculations of MCV changes by software LaSca v.1498. MCV</w:t>
      </w:r>
      <w:r w:rsidR="004B3454">
        <w:rPr>
          <w:vertAlign w:val="subscript"/>
        </w:rPr>
        <w:t>120</w:t>
      </w:r>
      <w:r w:rsidR="00B86FBD">
        <w:t xml:space="preserve"> indicates the maximum cell</w:t>
      </w:r>
      <w:r w:rsidR="00390997">
        <w:t xml:space="preserve"> </w:t>
      </w:r>
      <w:r w:rsidR="00B86FBD">
        <w:t>volume</w:t>
      </w:r>
      <w:r w:rsidR="00AA33AA">
        <w:t xml:space="preserve"> during the osmotic fragility test</w:t>
      </w:r>
      <w:r w:rsidR="00B86FBD">
        <w:t xml:space="preserve">, H10, 50, 90 indicate the osmolality at which 10, 50, and 90% of cells </w:t>
      </w:r>
      <w:r w:rsidR="001D4F79">
        <w:t>were ly</w:t>
      </w:r>
      <w:r w:rsidR="00B86FBD">
        <w:t>zed.</w:t>
      </w:r>
      <w:r w:rsidR="000B78CA">
        <w:t xml:space="preserve"> RBCs distribution width (W) calculate</w:t>
      </w:r>
      <w:r w:rsidR="00390997">
        <w:t>s</w:t>
      </w:r>
      <w:r w:rsidR="000B78CA">
        <w:t xml:space="preserve"> as W = H</w:t>
      </w:r>
      <w:r w:rsidR="000B78CA" w:rsidRPr="000B78CA">
        <w:rPr>
          <w:vertAlign w:val="subscript"/>
        </w:rPr>
        <w:t>10</w:t>
      </w:r>
      <w:r w:rsidR="000B78CA">
        <w:t xml:space="preserve"> – H</w:t>
      </w:r>
      <w:r w:rsidR="000B78CA" w:rsidRPr="000B78CA">
        <w:rPr>
          <w:vertAlign w:val="subscript"/>
        </w:rPr>
        <w:t>90</w:t>
      </w:r>
      <w:r w:rsidR="000B78CA">
        <w:t xml:space="preserve"> (</w:t>
      </w:r>
      <w:r w:rsidR="00AA33AA">
        <w:t>mOsm/kg H</w:t>
      </w:r>
      <w:r w:rsidR="00AA33AA" w:rsidRPr="000B2AEC">
        <w:rPr>
          <w:vertAlign w:val="subscript"/>
        </w:rPr>
        <w:t>2</w:t>
      </w:r>
      <w:r w:rsidR="00AA33AA">
        <w:t>O</w:t>
      </w:r>
      <w:r w:rsidR="000B78CA">
        <w:t xml:space="preserve">). </w:t>
      </w:r>
      <w:r w:rsidR="00B86FBD">
        <w:t xml:space="preserve"> </w:t>
      </w:r>
    </w:p>
    <w:p w14:paraId="022CA0B4" w14:textId="77777777" w:rsidR="00303253" w:rsidRPr="002E7848" w:rsidRDefault="00303253" w:rsidP="006E33AB">
      <w:pPr>
        <w:spacing w:line="360" w:lineRule="auto"/>
      </w:pPr>
    </w:p>
    <w:p w14:paraId="051DD437" w14:textId="77777777" w:rsidR="004B3454" w:rsidRDefault="004B3454" w:rsidP="004B3454">
      <w:pPr>
        <w:rPr>
          <w:b/>
        </w:rPr>
      </w:pPr>
      <w:r>
        <w:rPr>
          <w:b/>
          <w:noProof/>
        </w:rPr>
        <w:lastRenderedPageBreak/>
        <w:drawing>
          <wp:inline distT="0" distB="0" distL="0" distR="0" wp14:anchorId="31345AAB" wp14:editId="12FFBC07">
            <wp:extent cx="5550795" cy="416161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64149" cy="4171629"/>
                    </a:xfrm>
                    <a:prstGeom prst="rect">
                      <a:avLst/>
                    </a:prstGeom>
                    <a:noFill/>
                  </pic:spPr>
                </pic:pic>
              </a:graphicData>
            </a:graphic>
          </wp:inline>
        </w:drawing>
      </w:r>
    </w:p>
    <w:p w14:paraId="6462E5A6" w14:textId="77777777" w:rsidR="001D4F79" w:rsidRDefault="001D4F79" w:rsidP="004B3454">
      <w:pPr>
        <w:rPr>
          <w:b/>
        </w:rPr>
      </w:pPr>
    </w:p>
    <w:p w14:paraId="600F6F58" w14:textId="4BFFD07F" w:rsidR="006E33AB" w:rsidRPr="001757C6" w:rsidRDefault="000B78CA" w:rsidP="000B2AEC">
      <w:pPr>
        <w:spacing w:line="360" w:lineRule="auto"/>
        <w:jc w:val="both"/>
        <w:rPr>
          <w:b/>
        </w:rPr>
      </w:pPr>
      <w:r w:rsidRPr="008E6B94">
        <w:rPr>
          <w:b/>
        </w:rPr>
        <w:t>Supplementary</w:t>
      </w:r>
      <w:r w:rsidRPr="001D4F79">
        <w:rPr>
          <w:b/>
        </w:rPr>
        <w:t xml:space="preserve"> </w:t>
      </w:r>
      <w:r w:rsidRPr="008E6B94">
        <w:rPr>
          <w:b/>
        </w:rPr>
        <w:t>Figure</w:t>
      </w:r>
      <w:r w:rsidRPr="001D4F79">
        <w:rPr>
          <w:b/>
        </w:rPr>
        <w:t xml:space="preserve"> </w:t>
      </w:r>
      <w:r w:rsidR="00BA2CB2">
        <w:rPr>
          <w:b/>
        </w:rPr>
        <w:t>A</w:t>
      </w:r>
      <w:r w:rsidRPr="001D4F79">
        <w:rPr>
          <w:b/>
        </w:rPr>
        <w:t>2</w:t>
      </w:r>
      <w:r w:rsidRPr="000B2AEC">
        <w:rPr>
          <w:bCs/>
        </w:rPr>
        <w:t>.</w:t>
      </w:r>
      <w:r w:rsidR="001D4F79" w:rsidRPr="000B2AEC">
        <w:rPr>
          <w:bCs/>
        </w:rPr>
        <w:t xml:space="preserve"> </w:t>
      </w:r>
      <w:r w:rsidR="001D4F79" w:rsidRPr="000B2AEC">
        <w:rPr>
          <w:b/>
        </w:rPr>
        <w:t>Basic principles of ammonium stress test.</w:t>
      </w:r>
      <w:r w:rsidR="001D4F79">
        <w:t xml:space="preserve"> This test was developed based on unique ability of RBCs to swell to critical values and lyse in isosmotic ammonium buffer (Buffer 2). Initially light scattered intensity (LSI) was measured from  RBCs (1x10</w:t>
      </w:r>
      <w:r w:rsidR="001D4F79" w:rsidRPr="008E6B94">
        <w:rPr>
          <w:vertAlign w:val="superscript"/>
        </w:rPr>
        <w:t>6</w:t>
      </w:r>
      <w:r w:rsidR="008452F2">
        <w:t>cells</w:t>
      </w:r>
      <w:r w:rsidR="001D4F79">
        <w:t xml:space="preserve">/ml) in 1 ml HEPES buffer </w:t>
      </w:r>
      <w:r w:rsidR="008452F2">
        <w:t xml:space="preserve">with 2mM EGTA </w:t>
      </w:r>
      <w:r w:rsidR="001D4F79">
        <w:t>(</w:t>
      </w:r>
      <w:r w:rsidR="008452F2">
        <w:t>B</w:t>
      </w:r>
      <w:r w:rsidR="00F0418F">
        <w:t>uffer 1,</w:t>
      </w:r>
      <w:r w:rsidR="001D4F79">
        <w:t xml:space="preserve"> 300 </w:t>
      </w:r>
      <w:r w:rsidR="000B2AEC">
        <w:t>mOsm/kg H</w:t>
      </w:r>
      <w:r w:rsidR="000B2AEC" w:rsidRPr="000B2AEC">
        <w:rPr>
          <w:vertAlign w:val="subscript"/>
        </w:rPr>
        <w:t>2</w:t>
      </w:r>
      <w:r w:rsidR="000B2AEC">
        <w:t>O</w:t>
      </w:r>
      <w:r w:rsidR="001D4F79">
        <w:t xml:space="preserve">), </w:t>
      </w:r>
      <w:r w:rsidR="001757C6">
        <w:t xml:space="preserve">then </w:t>
      </w:r>
      <w:r w:rsidR="001D4F79">
        <w:t xml:space="preserve">the buffer was changed to ammonium </w:t>
      </w:r>
      <w:r w:rsidR="00F0418F">
        <w:t>buffer (</w:t>
      </w:r>
      <w:r w:rsidR="001757C6">
        <w:t>B</w:t>
      </w:r>
      <w:r w:rsidR="00F0418F">
        <w:t>uffer 2, 300 mOsm</w:t>
      </w:r>
      <w:r w:rsidR="000B2AEC">
        <w:t>/kg H</w:t>
      </w:r>
      <w:r w:rsidR="000B2AEC" w:rsidRPr="000B2AEC">
        <w:rPr>
          <w:vertAlign w:val="subscript"/>
        </w:rPr>
        <w:t>2</w:t>
      </w:r>
      <w:r w:rsidR="000B2AEC">
        <w:t>O</w:t>
      </w:r>
      <w:r w:rsidR="00F0418F">
        <w:t xml:space="preserve">). </w:t>
      </w:r>
      <w:r w:rsidR="001757C6">
        <w:t>(</w:t>
      </w:r>
      <w:r w:rsidR="00F0418F" w:rsidRPr="001D4F79">
        <w:rPr>
          <w:b/>
        </w:rPr>
        <w:t>A</w:t>
      </w:r>
      <w:r w:rsidR="001757C6">
        <w:rPr>
          <w:b/>
        </w:rPr>
        <w:t xml:space="preserve">) </w:t>
      </w:r>
      <w:r w:rsidR="00F0418F">
        <w:t>Original records from LaSca-TM analyzer of LSI changes in different angles. For</w:t>
      </w:r>
      <w:r w:rsidR="00F0418F" w:rsidRPr="001757C6">
        <w:t xml:space="preserve"> </w:t>
      </w:r>
      <w:r w:rsidR="00F0418F">
        <w:t>angles</w:t>
      </w:r>
      <w:r w:rsidR="00F0418F" w:rsidRPr="001757C6">
        <w:t xml:space="preserve"> 7 – 10 </w:t>
      </w:r>
      <w:r w:rsidR="00F0418F">
        <w:t>degree</w:t>
      </w:r>
      <w:r w:rsidR="00F0418F" w:rsidRPr="001757C6">
        <w:t xml:space="preserve"> </w:t>
      </w:r>
      <w:r w:rsidR="00F0418F">
        <w:t>Y</w:t>
      </w:r>
      <w:r w:rsidR="00F0418F" w:rsidRPr="001757C6">
        <w:t xml:space="preserve"> </w:t>
      </w:r>
      <w:r w:rsidR="00F0418F">
        <w:t>axes</w:t>
      </w:r>
      <w:r w:rsidR="00F0418F" w:rsidRPr="001757C6">
        <w:t xml:space="preserve"> </w:t>
      </w:r>
      <w:r w:rsidR="00F0418F">
        <w:t>x</w:t>
      </w:r>
      <w:r w:rsidR="00F0418F" w:rsidRPr="001757C6">
        <w:t xml:space="preserve">10. </w:t>
      </w:r>
      <w:r w:rsidR="001757C6">
        <w:t>(</w:t>
      </w:r>
      <w:r w:rsidR="001757C6" w:rsidRPr="001757C6">
        <w:rPr>
          <w:b/>
          <w:bCs/>
        </w:rPr>
        <w:t>B</w:t>
      </w:r>
      <w:r w:rsidR="001757C6">
        <w:t>) Cal</w:t>
      </w:r>
      <w:r w:rsidR="000F6E10">
        <w:t xml:space="preserve">culation of % of hemolyzed cells (%Hem), </w:t>
      </w:r>
      <w:r w:rsidR="00CD71D6">
        <w:t xml:space="preserve">rate of hemolysis (Vhem) from the hemolysis curve in </w:t>
      </w:r>
      <w:r w:rsidR="00B26FD2">
        <w:t xml:space="preserve">FS </w:t>
      </w:r>
      <w:r w:rsidR="00CD71D6">
        <w:t>1</w:t>
      </w:r>
      <w:r w:rsidR="00B26FD2">
        <w:rPr>
          <w:rFonts w:cs="Times New Roman"/>
        </w:rPr>
        <w:t>°</w:t>
      </w:r>
      <w:r w:rsidR="00B26FD2">
        <w:t>.</w:t>
      </w:r>
    </w:p>
    <w:sectPr w:rsidR="006E33AB" w:rsidRPr="001757C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3AB"/>
    <w:rsid w:val="00044B0D"/>
    <w:rsid w:val="000B2AEC"/>
    <w:rsid w:val="000B78CA"/>
    <w:rsid w:val="000F6E10"/>
    <w:rsid w:val="001757C6"/>
    <w:rsid w:val="001D4F79"/>
    <w:rsid w:val="002E7848"/>
    <w:rsid w:val="00303253"/>
    <w:rsid w:val="00390997"/>
    <w:rsid w:val="004B3454"/>
    <w:rsid w:val="0063698E"/>
    <w:rsid w:val="006E33AB"/>
    <w:rsid w:val="00791C49"/>
    <w:rsid w:val="007B6DE1"/>
    <w:rsid w:val="008452F2"/>
    <w:rsid w:val="008546D0"/>
    <w:rsid w:val="008E6B94"/>
    <w:rsid w:val="00932E8F"/>
    <w:rsid w:val="009B46F6"/>
    <w:rsid w:val="00AA33AA"/>
    <w:rsid w:val="00B26FD2"/>
    <w:rsid w:val="00B86FBD"/>
    <w:rsid w:val="00BA2CB2"/>
    <w:rsid w:val="00C32BFC"/>
    <w:rsid w:val="00CD71D6"/>
    <w:rsid w:val="00F0418F"/>
    <w:rsid w:val="00FE5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505D"/>
  <w15:chartTrackingRefBased/>
  <w15:docId w15:val="{9A2C224A-0B48-48EE-AC17-A50EA37F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4B0D"/>
    <w:pPr>
      <w:spacing w:after="0" w:line="240" w:lineRule="auto"/>
    </w:pPr>
    <w:rPr>
      <w:rFonts w:cs="Times New Roman"/>
      <w:sz w:val="18"/>
      <w:szCs w:val="18"/>
    </w:rPr>
  </w:style>
  <w:style w:type="character" w:customStyle="1" w:styleId="a4">
    <w:name w:val="Текст выноски Знак"/>
    <w:basedOn w:val="a0"/>
    <w:link w:val="a3"/>
    <w:uiPriority w:val="99"/>
    <w:semiHidden/>
    <w:rsid w:val="00044B0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55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Stepan Gambaryan</dc:creator>
  <cp:keywords/>
  <dc:description/>
  <cp:lastModifiedBy>Julia Sudnitsyna</cp:lastModifiedBy>
  <cp:revision>16</cp:revision>
  <dcterms:created xsi:type="dcterms:W3CDTF">2020-08-04T13:30:00Z</dcterms:created>
  <dcterms:modified xsi:type="dcterms:W3CDTF">2020-08-30T13:30:00Z</dcterms:modified>
</cp:coreProperties>
</file>